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AB" w:rsidRDefault="00F94CAB" w:rsidP="00F94CAB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163. “</w:t>
      </w:r>
      <w:bookmarkStart w:id="0" w:name="_GoBack"/>
      <w:r>
        <w:rPr>
          <w:rFonts w:ascii="Courier New" w:hAnsi="Courier New" w:cs="Courier New"/>
          <w:sz w:val="22"/>
        </w:rPr>
        <w:t xml:space="preserve">The Isle of the [Ocean],” </w:t>
      </w:r>
      <w:bookmarkEnd w:id="0"/>
      <w:r>
        <w:rPr>
          <w:rFonts w:ascii="Courier New" w:hAnsi="Courier New" w:cs="Courier New"/>
          <w:sz w:val="22"/>
        </w:rPr>
        <w:t>spring, MS VIII. Unpublished.</w:t>
      </w:r>
    </w:p>
    <w:p w:rsidR="00F94CAB" w:rsidRDefault="00F94CAB" w:rsidP="00F94CAB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This thirteen-line poem, dated by its position following no. 162, is entitled only “The Isle of the” in manuscript; however, the first line fills out the idea: “The sun he has set by the isle of the ocean.”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AB"/>
    <w:rsid w:val="004F1C2A"/>
    <w:rsid w:val="00CD2009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AB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AB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2014-10-27T20:56:00Z</dcterms:created>
  <dcterms:modified xsi:type="dcterms:W3CDTF">2014-10-27T20:57:00Z</dcterms:modified>
</cp:coreProperties>
</file>